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A9E" w:rsidRPr="00611830" w:rsidRDefault="00C25A9E" w:rsidP="00D772D5">
      <w:pPr>
        <w:pBdr>
          <w:top w:val="single" w:sz="36" w:space="1" w:color="DEEAF6" w:themeColor="accent1" w:themeTint="33"/>
          <w:bottom w:val="single" w:sz="36" w:space="1" w:color="DEEAF6" w:themeColor="accent1" w:themeTint="33"/>
        </w:pBdr>
        <w:shd w:val="clear" w:color="auto" w:fill="DEEAF6" w:themeFill="accent1" w:themeFillTint="33"/>
        <w:spacing w:before="160" w:after="80" w:line="240" w:lineRule="auto"/>
        <w:jc w:val="center"/>
        <w:rPr>
          <w:rStyle w:val="Strong"/>
          <w:sz w:val="24"/>
          <w:szCs w:val="24"/>
        </w:rPr>
      </w:pPr>
      <w:r w:rsidRPr="00611830">
        <w:rPr>
          <w:rStyle w:val="Strong"/>
          <w:sz w:val="24"/>
          <w:szCs w:val="24"/>
          <w:shd w:val="clear" w:color="auto" w:fill="DEEAF6" w:themeFill="accent1" w:themeFillTint="33"/>
        </w:rPr>
        <w:t>WHY UNDERTAKE THIS COURSE?</w:t>
      </w:r>
    </w:p>
    <w:p w:rsidR="00C25A9E" w:rsidRPr="00611830" w:rsidRDefault="00C25A9E" w:rsidP="00B0513A">
      <w:pPr>
        <w:spacing w:before="200"/>
        <w:ind w:right="2721"/>
        <w:rPr>
          <w:rFonts w:ascii="Calibri" w:hAnsi="Calibri"/>
          <w:bCs/>
        </w:rPr>
      </w:pPr>
      <w:r w:rsidRPr="00611830">
        <w:rPr>
          <w:rFonts w:ascii="Calibri" w:hAnsi="Calibri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BF022" wp14:editId="3C382EC7">
                <wp:simplePos x="0" y="0"/>
                <wp:positionH relativeFrom="margin">
                  <wp:posOffset>5000625</wp:posOffset>
                </wp:positionH>
                <wp:positionV relativeFrom="paragraph">
                  <wp:posOffset>81281</wp:posOffset>
                </wp:positionV>
                <wp:extent cx="1643380" cy="1238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A9E" w:rsidRDefault="00C25A9E" w:rsidP="00C25A9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0F68C38" wp14:editId="3D6E3E60">
                                  <wp:extent cx="1267460" cy="1038225"/>
                                  <wp:effectExtent l="0" t="0" r="8890" b="9525"/>
                                  <wp:docPr id="13" name="Picture 13" descr="NRTCol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NRTCol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46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BF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75pt;margin-top:6.4pt;width:129.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" filled="f" stroked="f" strokeweight=".5pt">
                <v:textbox>
                  <w:txbxContent>
                    <w:p w:rsidR="00C25A9E" w:rsidRDefault="00C25A9E" w:rsidP="00C25A9E">
                      <w:pPr>
                        <w:jc w:val="right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0F68C38" wp14:editId="3D6E3E60">
                            <wp:extent cx="1267460" cy="1038225"/>
                            <wp:effectExtent l="0" t="0" r="8890" b="9525"/>
                            <wp:docPr id="13" name="Picture 13" descr="NRTCol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NRTCol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46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1830">
        <w:rPr>
          <w:rFonts w:ascii="Calibri" w:hAnsi="Calibri"/>
          <w:bCs/>
        </w:rPr>
        <w:t xml:space="preserve">The flagship nationally recognised </w:t>
      </w:r>
      <w:r w:rsidR="00AC2391" w:rsidRPr="00611830">
        <w:rPr>
          <w:rFonts w:ascii="Calibri" w:hAnsi="Calibri"/>
          <w:bCs/>
        </w:rPr>
        <w:t>CPR</w:t>
      </w:r>
      <w:r w:rsidRPr="00611830">
        <w:rPr>
          <w:rFonts w:ascii="Calibri" w:hAnsi="Calibri"/>
          <w:bCs/>
        </w:rPr>
        <w:t xml:space="preserve"> course – Provide </w:t>
      </w:r>
      <w:r w:rsidR="00AC2391" w:rsidRPr="00611830">
        <w:rPr>
          <w:rFonts w:ascii="Calibri" w:hAnsi="Calibri"/>
          <w:bCs/>
        </w:rPr>
        <w:t>cardiopulmonary resuscitation (HLTAID001</w:t>
      </w:r>
      <w:r w:rsidRPr="00611830">
        <w:rPr>
          <w:rFonts w:ascii="Calibri" w:hAnsi="Calibri"/>
          <w:bCs/>
        </w:rPr>
        <w:t xml:space="preserve">) </w:t>
      </w:r>
      <w:r w:rsidR="00AC2391" w:rsidRPr="00611830">
        <w:rPr>
          <w:rFonts w:ascii="Calibri" w:hAnsi="Calibri"/>
          <w:bCs/>
        </w:rPr>
        <w:t>–</w:t>
      </w:r>
      <w:r w:rsidRPr="00611830">
        <w:rPr>
          <w:rFonts w:ascii="Calibri" w:hAnsi="Calibri"/>
          <w:bCs/>
        </w:rPr>
        <w:t xml:space="preserve"> </w:t>
      </w:r>
      <w:r w:rsidR="00AC2391" w:rsidRPr="00611830">
        <w:rPr>
          <w:rFonts w:ascii="Calibri" w:hAnsi="Calibri"/>
          <w:bCs/>
        </w:rPr>
        <w:t xml:space="preserve">provides the skills to recognise and manage a casualty who is unconscious and not breathing. CPR is a lifesaving technique which can sustain life until an ambulance arrives. Binnacle Training recommends, in line with Australian Resuscitation Council guidelines, that CPR skills are recertified every 12 months. </w:t>
      </w:r>
    </w:p>
    <w:p w:rsidR="00965CB2" w:rsidRPr="00611830" w:rsidRDefault="00C25A9E" w:rsidP="00B0513A">
      <w:pPr>
        <w:spacing w:before="200" w:after="240"/>
        <w:rPr>
          <w:rStyle w:val="Strong"/>
          <w:rFonts w:ascii="Cambria" w:hAnsi="Cambria"/>
          <w:bCs w:val="0"/>
          <w:sz w:val="20"/>
          <w:szCs w:val="20"/>
        </w:rPr>
      </w:pPr>
      <w:r w:rsidRPr="00611830">
        <w:rPr>
          <w:rFonts w:ascii="Calibri" w:hAnsi="Calibri"/>
          <w:bCs/>
        </w:rPr>
        <w:t xml:space="preserve">Most workplaces require a specific number of people to </w:t>
      </w:r>
      <w:r w:rsidR="00B0513A" w:rsidRPr="00611830">
        <w:rPr>
          <w:rFonts w:ascii="Calibri" w:hAnsi="Calibri"/>
          <w:bCs/>
        </w:rPr>
        <w:t>hold</w:t>
      </w:r>
      <w:r w:rsidRPr="00611830">
        <w:rPr>
          <w:rFonts w:ascii="Calibri" w:hAnsi="Calibri"/>
          <w:bCs/>
        </w:rPr>
        <w:t xml:space="preserve"> this qualification.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716C97" w:rsidTr="005144C4">
        <w:trPr>
          <w:trHeight w:val="9274"/>
        </w:trPr>
        <w:tc>
          <w:tcPr>
            <w:tcW w:w="5228" w:type="dxa"/>
          </w:tcPr>
          <w:p w:rsidR="00716C97" w:rsidRPr="00D772D5" w:rsidRDefault="00880E35" w:rsidP="00D772D5">
            <w:pPr>
              <w:pBdr>
                <w:top w:val="single" w:sz="24" w:space="0" w:color="DEEAF6" w:themeColor="accent1" w:themeTint="33"/>
                <w:left w:val="single" w:sz="24" w:space="4" w:color="DEEAF6" w:themeColor="accent1" w:themeTint="33"/>
                <w:bottom w:val="single" w:sz="24" w:space="1" w:color="DEEAF6" w:themeColor="accent1" w:themeTint="33"/>
                <w:right w:val="single" w:sz="24" w:space="4" w:color="DEEAF6" w:themeColor="accent1" w:themeTint="33"/>
              </w:pBdr>
              <w:shd w:val="clear" w:color="auto" w:fill="DEEAF6" w:themeFill="accent1" w:themeFillTint="33"/>
              <w:spacing w:before="160"/>
              <w:rPr>
                <w:sz w:val="24"/>
              </w:rPr>
            </w:pPr>
            <w:r w:rsidRPr="00D772D5">
              <w:rPr>
                <w:b/>
                <w:sz w:val="24"/>
              </w:rPr>
              <w:t>COURSE FORMAT AND DURATION</w:t>
            </w:r>
          </w:p>
          <w:p w:rsidR="00B0513A" w:rsidRPr="00611830" w:rsidRDefault="00B0513A" w:rsidP="00B0513A">
            <w:pPr>
              <w:spacing w:before="120" w:line="276" w:lineRule="auto"/>
            </w:pPr>
            <w:r w:rsidRPr="00611830">
              <w:t>This course is delivered by a Binnacle Independent First Aid Contractor</w:t>
            </w:r>
            <w:r w:rsidR="001B0C20">
              <w:t xml:space="preserve"> (</w:t>
            </w:r>
            <w:sdt>
              <w:sdtPr>
                <w:id w:val="1552118387"/>
                <w:placeholder>
                  <w:docPart w:val="D523785DABC5405D93F39802FB989628"/>
                </w:placeholder>
                <w:showingPlcHdr/>
                <w:text/>
              </w:sdtPr>
              <w:sdtEndPr/>
              <w:sdtContent>
                <w:r w:rsidR="001B0C20" w:rsidRPr="003B7EB6">
                  <w:rPr>
                    <w:rStyle w:val="PlaceholderText"/>
                  </w:rPr>
                  <w:t>i</w:t>
                </w:r>
                <w:r w:rsidR="001B0C20">
                  <w:rPr>
                    <w:rStyle w:val="PlaceholderText"/>
                  </w:rPr>
                  <w:t>nsert business name here</w:t>
                </w:r>
              </w:sdtContent>
            </w:sdt>
            <w:r w:rsidR="001B0C20">
              <w:t>)</w:t>
            </w:r>
            <w:r w:rsidRPr="00611830">
              <w:t xml:space="preserve"> via a third-party agreement between Binnacle Training (as the lead RTO) and the Independent Contractor (as the Third-Party).</w:t>
            </w:r>
          </w:p>
          <w:p w:rsidR="00B0513A" w:rsidRPr="00611830" w:rsidRDefault="00B0513A" w:rsidP="00B0513A">
            <w:pPr>
              <w:spacing w:before="120" w:line="276" w:lineRule="auto"/>
            </w:pPr>
            <w:r w:rsidRPr="00611830">
              <w:t>This</w:t>
            </w:r>
            <w:r w:rsidR="0054306B">
              <w:t xml:space="preserve"> course has the following course duration options:</w:t>
            </w:r>
          </w:p>
          <w:p w:rsidR="00716C97" w:rsidRPr="00611830" w:rsidRDefault="009F18E9" w:rsidP="00D11BEF">
            <w:pPr>
              <w:spacing w:before="120" w:line="276" w:lineRule="auto"/>
            </w:pPr>
            <w:sdt>
              <w:sdtPr>
                <w:rPr>
                  <w:b/>
                </w:rPr>
                <w:id w:val="-56518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B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11BEF">
              <w:rPr>
                <w:b/>
              </w:rPr>
              <w:t xml:space="preserve">  </w:t>
            </w:r>
            <w:r w:rsidR="00880E35" w:rsidRPr="00D11BEF">
              <w:rPr>
                <w:b/>
              </w:rPr>
              <w:t>School Term Delivery:</w:t>
            </w:r>
            <w:r w:rsidR="00AC2391" w:rsidRPr="00611830">
              <w:t xml:space="preserve"> 6</w:t>
            </w:r>
            <w:r w:rsidR="00B0513A" w:rsidRPr="00611830">
              <w:t xml:space="preserve"> x 70 min</w:t>
            </w:r>
            <w:r w:rsidR="00880E35" w:rsidRPr="00611830">
              <w:t xml:space="preserve"> lessons</w:t>
            </w:r>
          </w:p>
          <w:p w:rsidR="00955712" w:rsidRPr="00D11BEF" w:rsidRDefault="009F18E9" w:rsidP="00D11BEF">
            <w:pPr>
              <w:spacing w:before="120" w:line="276" w:lineRule="auto"/>
              <w:rPr>
                <w:i/>
              </w:rPr>
            </w:pPr>
            <w:sdt>
              <w:sdtPr>
                <w:rPr>
                  <w:b/>
                </w:rPr>
                <w:id w:val="99576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B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11BEF">
              <w:rPr>
                <w:b/>
              </w:rPr>
              <w:t xml:space="preserve">  </w:t>
            </w:r>
            <w:r w:rsidR="00AC2391" w:rsidRPr="00D11BEF">
              <w:rPr>
                <w:b/>
              </w:rPr>
              <w:t>Half</w:t>
            </w:r>
            <w:r w:rsidR="00955712" w:rsidRPr="00D11BEF">
              <w:rPr>
                <w:b/>
              </w:rPr>
              <w:t>-</w:t>
            </w:r>
            <w:r w:rsidR="00880E35" w:rsidRPr="00D11BEF">
              <w:rPr>
                <w:b/>
              </w:rPr>
              <w:t>Day Delivery:</w:t>
            </w:r>
            <w:r w:rsidR="00880E35" w:rsidRPr="00611830">
              <w:t xml:space="preserve"> </w:t>
            </w:r>
            <w:r w:rsidR="00B0513A" w:rsidRPr="00611830">
              <w:t>The p</w:t>
            </w:r>
            <w:r w:rsidR="00880E35" w:rsidRPr="00611830">
              <w:t>ractical may</w:t>
            </w:r>
            <w:r w:rsidR="00AC2391" w:rsidRPr="00611830">
              <w:t xml:space="preserve"> be completed in approximately 3</w:t>
            </w:r>
            <w:r w:rsidR="00880E35" w:rsidRPr="00611830">
              <w:t xml:space="preserve"> hours.</w:t>
            </w:r>
          </w:p>
          <w:p w:rsidR="00880E35" w:rsidRPr="00D11BEF" w:rsidRDefault="00880E35" w:rsidP="00D11BEF">
            <w:pPr>
              <w:spacing w:before="40" w:line="276" w:lineRule="auto"/>
              <w:rPr>
                <w:i/>
              </w:rPr>
            </w:pPr>
            <w:r w:rsidRPr="00D11BEF">
              <w:rPr>
                <w:i/>
                <w:u w:val="single"/>
              </w:rPr>
              <w:t>IMPORTANT</w:t>
            </w:r>
            <w:r w:rsidRPr="00D11BEF">
              <w:rPr>
                <w:i/>
              </w:rPr>
              <w:t>: All knowledge assessment must be completed b</w:t>
            </w:r>
            <w:r w:rsidR="00AC2391" w:rsidRPr="00D11BEF">
              <w:rPr>
                <w:i/>
              </w:rPr>
              <w:t>y participants prior to this half</w:t>
            </w:r>
            <w:r w:rsidRPr="00D11BEF">
              <w:rPr>
                <w:i/>
              </w:rPr>
              <w:t>-day delivery.</w:t>
            </w:r>
          </w:p>
          <w:p w:rsidR="00880E35" w:rsidRPr="00611830" w:rsidRDefault="009F18E9" w:rsidP="00D11BEF">
            <w:pPr>
              <w:spacing w:before="120" w:line="276" w:lineRule="auto"/>
            </w:pPr>
            <w:sdt>
              <w:sdtPr>
                <w:rPr>
                  <w:b/>
                </w:rPr>
                <w:id w:val="131929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B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11BEF">
              <w:rPr>
                <w:b/>
              </w:rPr>
              <w:t xml:space="preserve">  </w:t>
            </w:r>
            <w:r w:rsidR="00AC2391" w:rsidRPr="00D11BEF">
              <w:rPr>
                <w:b/>
              </w:rPr>
              <w:t>One</w:t>
            </w:r>
            <w:r w:rsidR="00880E35" w:rsidRPr="00D11BEF">
              <w:rPr>
                <w:b/>
              </w:rPr>
              <w:t>-Day Delivery:</w:t>
            </w:r>
            <w:r w:rsidR="00AC2391" w:rsidRPr="00611830">
              <w:t xml:space="preserve"> </w:t>
            </w:r>
            <w:r w:rsidR="00611830" w:rsidRPr="00611830">
              <w:t>Approximately</w:t>
            </w:r>
            <w:r w:rsidR="00AC2391" w:rsidRPr="00611830">
              <w:t xml:space="preserve"> 5</w:t>
            </w:r>
            <w:r w:rsidR="00880E35" w:rsidRPr="00611830">
              <w:t xml:space="preserve"> hours </w:t>
            </w:r>
          </w:p>
          <w:p w:rsidR="00B0513A" w:rsidRPr="006C0B40" w:rsidRDefault="00B0513A" w:rsidP="00B0513A">
            <w:pPr>
              <w:pBdr>
                <w:top w:val="single" w:sz="36" w:space="1" w:color="DEEAF6" w:themeColor="accent1" w:themeTint="33"/>
                <w:bottom w:val="single" w:sz="36" w:space="1" w:color="DEEAF6" w:themeColor="accent1" w:themeTint="33"/>
              </w:pBdr>
              <w:shd w:val="clear" w:color="auto" w:fill="DEEAF6" w:themeFill="accent1" w:themeFillTint="33"/>
              <w:spacing w:before="160" w:after="80"/>
              <w:rPr>
                <w:rStyle w:val="Strong"/>
                <w:bCs w:val="0"/>
                <w:sz w:val="24"/>
                <w:szCs w:val="24"/>
                <w:shd w:val="clear" w:color="auto" w:fill="DEEAF6" w:themeFill="accent1" w:themeFillTint="33"/>
              </w:rPr>
            </w:pPr>
            <w:r w:rsidRPr="006C0B40">
              <w:rPr>
                <w:rStyle w:val="Strong"/>
                <w:bCs w:val="0"/>
                <w:sz w:val="24"/>
                <w:szCs w:val="24"/>
                <w:shd w:val="clear" w:color="auto" w:fill="DEEAF6" w:themeFill="accent1" w:themeFillTint="33"/>
              </w:rPr>
              <w:t>COMPLETION REQUIREMENTS AND LLN</w:t>
            </w:r>
          </w:p>
          <w:p w:rsidR="00B0513A" w:rsidRPr="006C0B40" w:rsidRDefault="00B0513A" w:rsidP="00B0513A">
            <w:pPr>
              <w:spacing w:before="120" w:line="276" w:lineRule="auto"/>
              <w:rPr>
                <w:szCs w:val="21"/>
              </w:rPr>
            </w:pPr>
            <w:r w:rsidRPr="006C0B40">
              <w:rPr>
                <w:szCs w:val="21"/>
              </w:rPr>
              <w:t>Participants are required to undertake practical training and assessments at floor level which include</w:t>
            </w:r>
            <w:r>
              <w:rPr>
                <w:szCs w:val="21"/>
              </w:rPr>
              <w:t>s</w:t>
            </w:r>
            <w:r w:rsidRPr="006C0B40">
              <w:rPr>
                <w:szCs w:val="21"/>
              </w:rPr>
              <w:t xml:space="preserve"> demonstrating CPR on a manikin for at least two minutes. The minimum age to enrol in this course i</w:t>
            </w:r>
            <w:r>
              <w:rPr>
                <w:szCs w:val="21"/>
              </w:rPr>
              <w:t>s</w:t>
            </w:r>
            <w:r w:rsidRPr="006C0B40">
              <w:rPr>
                <w:szCs w:val="21"/>
              </w:rPr>
              <w:t xml:space="preserve"> 14 years.</w:t>
            </w:r>
          </w:p>
          <w:p w:rsidR="00716C97" w:rsidRPr="00B0513A" w:rsidRDefault="00B0513A" w:rsidP="00B0513A">
            <w:pPr>
              <w:spacing w:before="120" w:line="276" w:lineRule="auto"/>
              <w:rPr>
                <w:szCs w:val="21"/>
              </w:rPr>
            </w:pPr>
            <w:r w:rsidRPr="006C0B40">
              <w:rPr>
                <w:szCs w:val="21"/>
              </w:rPr>
              <w:t xml:space="preserve">Participants must attend 100% of this first aid training and will also require suitable </w:t>
            </w:r>
            <w:r w:rsidR="00C63F58">
              <w:rPr>
                <w:szCs w:val="21"/>
              </w:rPr>
              <w:t>language, literacy and numeracy</w:t>
            </w:r>
            <w:r w:rsidRPr="006C0B40">
              <w:rPr>
                <w:szCs w:val="21"/>
              </w:rPr>
              <w:t xml:space="preserve"> skills to complete this course.</w:t>
            </w:r>
            <w:r>
              <w:rPr>
                <w:noProof/>
              </w:rPr>
              <w:t xml:space="preserve"> </w:t>
            </w:r>
          </w:p>
        </w:tc>
        <w:tc>
          <w:tcPr>
            <w:tcW w:w="5228" w:type="dxa"/>
          </w:tcPr>
          <w:p w:rsidR="00B0513A" w:rsidRPr="00D772D5" w:rsidRDefault="00B0513A" w:rsidP="00B0513A">
            <w:pPr>
              <w:pBdr>
                <w:top w:val="single" w:sz="24" w:space="1" w:color="DEEAF6" w:themeColor="accent1" w:themeTint="33"/>
                <w:left w:val="single" w:sz="24" w:space="4" w:color="DEEAF6" w:themeColor="accent1" w:themeTint="33"/>
                <w:bottom w:val="single" w:sz="24" w:space="1" w:color="DEEAF6" w:themeColor="accent1" w:themeTint="33"/>
                <w:right w:val="single" w:sz="24" w:space="4" w:color="DEEAF6" w:themeColor="accent1" w:themeTint="33"/>
              </w:pBdr>
              <w:shd w:val="clear" w:color="auto" w:fill="DEEAF6" w:themeFill="accent1" w:themeFillTint="33"/>
              <w:spacing w:before="160"/>
              <w:rPr>
                <w:b/>
                <w:sz w:val="24"/>
              </w:rPr>
            </w:pPr>
            <w:r w:rsidRPr="00D772D5">
              <w:rPr>
                <w:b/>
                <w:sz w:val="24"/>
              </w:rPr>
              <w:t>TOPICS OF STUDY</w:t>
            </w:r>
          </w:p>
          <w:p w:rsidR="00B0513A" w:rsidRPr="00D772D5" w:rsidRDefault="00B0513A" w:rsidP="00B0513A">
            <w:pPr>
              <w:spacing w:before="160" w:line="276" w:lineRule="auto"/>
              <w:rPr>
                <w:szCs w:val="21"/>
              </w:rPr>
            </w:pPr>
            <w:r w:rsidRPr="00D772D5">
              <w:rPr>
                <w:szCs w:val="21"/>
              </w:rPr>
              <w:t>Topics of study include:</w:t>
            </w:r>
          </w:p>
          <w:p w:rsidR="00B0513A" w:rsidRPr="00D772D5" w:rsidRDefault="00B0513A" w:rsidP="00B0513A">
            <w:pPr>
              <w:pStyle w:val="ListParagraph"/>
              <w:numPr>
                <w:ilvl w:val="0"/>
                <w:numId w:val="11"/>
              </w:numPr>
              <w:spacing w:before="80" w:after="160" w:line="276" w:lineRule="auto"/>
              <w:rPr>
                <w:szCs w:val="21"/>
              </w:rPr>
            </w:pPr>
            <w:r w:rsidRPr="00D772D5">
              <w:rPr>
                <w:szCs w:val="21"/>
              </w:rPr>
              <w:t>Emergency Management</w:t>
            </w:r>
          </w:p>
          <w:p w:rsidR="00B0513A" w:rsidRPr="00D772D5" w:rsidRDefault="00B0513A" w:rsidP="00B0513A">
            <w:pPr>
              <w:pStyle w:val="ListParagraph"/>
              <w:numPr>
                <w:ilvl w:val="0"/>
                <w:numId w:val="11"/>
              </w:numPr>
              <w:spacing w:before="80" w:after="160" w:line="276" w:lineRule="auto"/>
              <w:rPr>
                <w:szCs w:val="21"/>
              </w:rPr>
            </w:pPr>
            <w:r w:rsidRPr="00D772D5">
              <w:rPr>
                <w:szCs w:val="21"/>
              </w:rPr>
              <w:t>Assessing the Scene</w:t>
            </w:r>
          </w:p>
          <w:p w:rsidR="00B0513A" w:rsidRPr="00D772D5" w:rsidRDefault="00B0513A" w:rsidP="00B0513A">
            <w:pPr>
              <w:pStyle w:val="ListParagraph"/>
              <w:numPr>
                <w:ilvl w:val="0"/>
                <w:numId w:val="11"/>
              </w:numPr>
              <w:spacing w:before="80" w:after="160" w:line="276" w:lineRule="auto"/>
              <w:rPr>
                <w:szCs w:val="21"/>
              </w:rPr>
            </w:pPr>
            <w:r w:rsidRPr="00D772D5">
              <w:rPr>
                <w:szCs w:val="21"/>
              </w:rPr>
              <w:t>CPR and Defibrillation</w:t>
            </w:r>
          </w:p>
          <w:p w:rsidR="00B0513A" w:rsidRPr="00D772D5" w:rsidRDefault="00B0513A" w:rsidP="00B0513A">
            <w:pPr>
              <w:pBdr>
                <w:top w:val="single" w:sz="24" w:space="1" w:color="DEEAF6" w:themeColor="accent1" w:themeTint="33"/>
                <w:left w:val="single" w:sz="24" w:space="4" w:color="DEEAF6" w:themeColor="accent1" w:themeTint="33"/>
                <w:bottom w:val="single" w:sz="24" w:space="1" w:color="DEEAF6" w:themeColor="accent1" w:themeTint="33"/>
                <w:right w:val="single" w:sz="24" w:space="4" w:color="DEEAF6" w:themeColor="accent1" w:themeTint="33"/>
              </w:pBdr>
              <w:shd w:val="clear" w:color="auto" w:fill="DEEAF6" w:themeFill="accent1" w:themeFillTint="33"/>
              <w:spacing w:before="160"/>
              <w:rPr>
                <w:b/>
                <w:sz w:val="24"/>
              </w:rPr>
            </w:pPr>
            <w:r w:rsidRPr="00D772D5">
              <w:rPr>
                <w:b/>
                <w:sz w:val="24"/>
              </w:rPr>
              <w:t>LEARNING AND ASSESSMENT</w:t>
            </w:r>
          </w:p>
          <w:p w:rsidR="00B0513A" w:rsidRPr="00B0513A" w:rsidRDefault="00611830" w:rsidP="00B0513A">
            <w:pPr>
              <w:spacing w:before="160" w:line="276" w:lineRule="auto"/>
              <w:rPr>
                <w:szCs w:val="21"/>
              </w:rPr>
            </w:pPr>
            <w:r>
              <w:rPr>
                <w:szCs w:val="21"/>
              </w:rPr>
              <w:t xml:space="preserve">All assessment tasks and resources are accessed online through the Binnacle Lounge and course delivery will </w:t>
            </w:r>
            <w:r w:rsidR="00B0513A" w:rsidRPr="00B0513A">
              <w:rPr>
                <w:szCs w:val="21"/>
              </w:rPr>
              <w:t>combine both class-based learning and practical components using different emergency scenarios and equipment, including:</w:t>
            </w:r>
          </w:p>
          <w:p w:rsidR="00D772D5" w:rsidRPr="00D772D5" w:rsidRDefault="00D772D5" w:rsidP="00B0513A">
            <w:pPr>
              <w:pStyle w:val="ListParagraph"/>
              <w:numPr>
                <w:ilvl w:val="1"/>
                <w:numId w:val="2"/>
              </w:numPr>
              <w:spacing w:before="160" w:line="276" w:lineRule="auto"/>
              <w:ind w:left="788" w:hanging="431"/>
              <w:contextualSpacing w:val="0"/>
              <w:rPr>
                <w:szCs w:val="21"/>
              </w:rPr>
            </w:pPr>
            <w:r w:rsidRPr="00D772D5">
              <w:rPr>
                <w:szCs w:val="21"/>
              </w:rPr>
              <w:t>Resuscitation manikins (adult and infant), including face masks</w:t>
            </w:r>
            <w:r w:rsidR="00611830">
              <w:rPr>
                <w:szCs w:val="21"/>
              </w:rPr>
              <w:t>; and</w:t>
            </w:r>
          </w:p>
          <w:p w:rsidR="00D772D5" w:rsidRPr="00D772D5" w:rsidRDefault="00611830" w:rsidP="00D772D5">
            <w:pPr>
              <w:pStyle w:val="ListParagraph"/>
              <w:numPr>
                <w:ilvl w:val="1"/>
                <w:numId w:val="2"/>
              </w:numPr>
              <w:spacing w:before="120" w:line="276" w:lineRule="auto"/>
              <w:rPr>
                <w:szCs w:val="21"/>
              </w:rPr>
            </w:pPr>
            <w:r>
              <w:rPr>
                <w:szCs w:val="21"/>
              </w:rPr>
              <w:t>A t</w:t>
            </w:r>
            <w:r w:rsidR="00D772D5" w:rsidRPr="00D772D5">
              <w:rPr>
                <w:szCs w:val="21"/>
              </w:rPr>
              <w:t>raining defibrillator</w:t>
            </w:r>
            <w:r>
              <w:rPr>
                <w:szCs w:val="21"/>
              </w:rPr>
              <w:t>.</w:t>
            </w:r>
          </w:p>
          <w:p w:rsidR="00955712" w:rsidRPr="00D772D5" w:rsidRDefault="00955712" w:rsidP="00D772D5">
            <w:pPr>
              <w:spacing w:before="200" w:line="276" w:lineRule="auto"/>
              <w:rPr>
                <w:i/>
                <w:szCs w:val="21"/>
                <w:u w:val="single"/>
              </w:rPr>
            </w:pPr>
            <w:r w:rsidRPr="00D772D5">
              <w:rPr>
                <w:szCs w:val="21"/>
              </w:rPr>
              <w:t>Evidence contributing towards competency will be collected throughout the course</w:t>
            </w:r>
            <w:r w:rsidR="00611830">
              <w:rPr>
                <w:szCs w:val="21"/>
              </w:rPr>
              <w:t xml:space="preserve"> which</w:t>
            </w:r>
            <w:r w:rsidRPr="00D772D5">
              <w:rPr>
                <w:szCs w:val="21"/>
              </w:rPr>
              <w:t xml:space="preserve"> includ</w:t>
            </w:r>
            <w:r w:rsidR="00611830">
              <w:rPr>
                <w:szCs w:val="21"/>
              </w:rPr>
              <w:t>es</w:t>
            </w:r>
            <w:r w:rsidRPr="00D772D5">
              <w:rPr>
                <w:szCs w:val="21"/>
              </w:rPr>
              <w:t xml:space="preserve"> knowledge </w:t>
            </w:r>
            <w:r w:rsidR="00611830">
              <w:rPr>
                <w:szCs w:val="21"/>
              </w:rPr>
              <w:t xml:space="preserve">quizzes that are automatically marked by the online platform </w:t>
            </w:r>
            <w:r w:rsidRPr="00D772D5">
              <w:rPr>
                <w:szCs w:val="21"/>
              </w:rPr>
              <w:t>and mini practical</w:t>
            </w:r>
            <w:r w:rsidR="00611830">
              <w:rPr>
                <w:szCs w:val="21"/>
              </w:rPr>
              <w:t xml:space="preserve"> </w:t>
            </w:r>
            <w:r w:rsidR="00AC2391">
              <w:rPr>
                <w:szCs w:val="21"/>
              </w:rPr>
              <w:t>s</w:t>
            </w:r>
            <w:r w:rsidR="00611830">
              <w:rPr>
                <w:szCs w:val="21"/>
              </w:rPr>
              <w:t>cenarios which are observed and marked by the Binnacle Independent Contractor.</w:t>
            </w:r>
          </w:p>
          <w:p w:rsidR="00ED1EE8" w:rsidRPr="00D772D5" w:rsidRDefault="00955712" w:rsidP="00D772D5">
            <w:pPr>
              <w:pBdr>
                <w:top w:val="single" w:sz="24" w:space="1" w:color="DEEAF6" w:themeColor="accent1" w:themeTint="33"/>
                <w:left w:val="single" w:sz="24" w:space="4" w:color="DEEAF6" w:themeColor="accent1" w:themeTint="33"/>
                <w:bottom w:val="single" w:sz="24" w:space="1" w:color="DEEAF6" w:themeColor="accent1" w:themeTint="33"/>
                <w:right w:val="single" w:sz="24" w:space="4" w:color="DEEAF6" w:themeColor="accent1" w:themeTint="33"/>
              </w:pBdr>
              <w:shd w:val="clear" w:color="auto" w:fill="DEEAF6" w:themeFill="accent1" w:themeFillTint="33"/>
              <w:spacing w:before="160"/>
              <w:rPr>
                <w:b/>
                <w:sz w:val="24"/>
              </w:rPr>
            </w:pPr>
            <w:r w:rsidRPr="00D772D5">
              <w:rPr>
                <w:b/>
                <w:sz w:val="24"/>
              </w:rPr>
              <w:t>COST</w:t>
            </w:r>
          </w:p>
          <w:p w:rsidR="00251A97" w:rsidRDefault="00D11BEF" w:rsidP="00611830">
            <w:pPr>
              <w:spacing w:before="160"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$35.00 </w:t>
            </w:r>
            <w:r w:rsidR="00D772D5" w:rsidRPr="00D772D5">
              <w:rPr>
                <w:rFonts w:cs="Arial"/>
                <w:szCs w:val="21"/>
              </w:rPr>
              <w:t>= Binnacle Training Fee</w:t>
            </w:r>
            <w:r w:rsidR="00611830">
              <w:rPr>
                <w:rFonts w:cs="Arial"/>
                <w:szCs w:val="21"/>
              </w:rPr>
              <w:t xml:space="preserve"> (invoiced to the Binnacle Independent Contractor).</w:t>
            </w:r>
          </w:p>
          <w:p w:rsidR="00D11BEF" w:rsidRPr="00B0513A" w:rsidRDefault="009F18E9" w:rsidP="00611830">
            <w:pPr>
              <w:spacing w:before="160" w:line="276" w:lineRule="auto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id w:val="1109314943"/>
                <w:placeholder>
                  <w:docPart w:val="A9B6B9B8052942D2B9C122B937D80B42"/>
                </w:placeholder>
                <w:showingPlcHdr/>
                <w:text/>
              </w:sdtPr>
              <w:sdtEndPr/>
              <w:sdtContent>
                <w:r w:rsidR="001B0C20">
                  <w:rPr>
                    <w:rStyle w:val="PlaceholderText"/>
                    <w:sz w:val="20"/>
                    <w:szCs w:val="20"/>
                  </w:rPr>
                  <w:t>I</w:t>
                </w:r>
                <w:r w:rsidR="001B0C20" w:rsidRPr="001B0C20">
                  <w:rPr>
                    <w:rStyle w:val="PlaceholderText"/>
                    <w:sz w:val="20"/>
                    <w:szCs w:val="20"/>
                  </w:rPr>
                  <w:t>f applicable or N/A</w:t>
                </w:r>
              </w:sdtContent>
            </w:sdt>
            <w:r w:rsidR="00D11BEF">
              <w:rPr>
                <w:rFonts w:cs="Arial"/>
                <w:szCs w:val="21"/>
              </w:rPr>
              <w:t xml:space="preserve"> = </w:t>
            </w:r>
            <w:r w:rsidR="001B0C20">
              <w:rPr>
                <w:rFonts w:cs="Arial"/>
                <w:szCs w:val="21"/>
              </w:rPr>
              <w:t>A</w:t>
            </w:r>
            <w:r w:rsidR="00D11BEF">
              <w:rPr>
                <w:rFonts w:cs="Arial"/>
                <w:szCs w:val="21"/>
              </w:rPr>
              <w:t>dditional fee</w:t>
            </w:r>
            <w:r w:rsidR="00FA51CC">
              <w:rPr>
                <w:rFonts w:cs="Arial"/>
                <w:szCs w:val="21"/>
              </w:rPr>
              <w:t>.</w:t>
            </w:r>
          </w:p>
        </w:tc>
      </w:tr>
    </w:tbl>
    <w:p w:rsidR="00716C97" w:rsidRPr="007A6FD7" w:rsidRDefault="00B0513A" w:rsidP="00B0513A">
      <w:pPr>
        <w:ind w:right="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34364" wp14:editId="19DD29B9">
                <wp:simplePos x="0" y="0"/>
                <wp:positionH relativeFrom="margin">
                  <wp:align>left</wp:align>
                </wp:positionH>
                <wp:positionV relativeFrom="paragraph">
                  <wp:posOffset>284895</wp:posOffset>
                </wp:positionV>
                <wp:extent cx="6639339" cy="874644"/>
                <wp:effectExtent l="0" t="0" r="2857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339" cy="87464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13A" w:rsidRPr="009237E8" w:rsidRDefault="00B0513A" w:rsidP="00B0513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237E8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IMPORTANT:</w:t>
                            </w:r>
                            <w:r w:rsidRPr="009237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Program Disclosure Statement (PDS)</w:t>
                            </w:r>
                          </w:p>
                          <w:p w:rsidR="00B0513A" w:rsidRPr="009237E8" w:rsidRDefault="00B0513A" w:rsidP="00B0513A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237E8">
                              <w:rPr>
                                <w:sz w:val="20"/>
                                <w:szCs w:val="20"/>
                              </w:rPr>
                              <w:t xml:space="preserve">This information is to be read in conjunction with Binnacle Training’s </w:t>
                            </w:r>
                            <w:r w:rsidRPr="009237E8">
                              <w:rPr>
                                <w:sz w:val="20"/>
                                <w:szCs w:val="20"/>
                                <w:u w:val="single"/>
                              </w:rPr>
                              <w:t>Program Disclosure Statement</w:t>
                            </w:r>
                            <w:r w:rsidRPr="009237E8">
                              <w:rPr>
                                <w:sz w:val="20"/>
                                <w:szCs w:val="20"/>
                              </w:rPr>
                              <w:t xml:space="preserve"> (PDS). The PDS sets out the services and training products that Binnacle Training provides </w:t>
                            </w:r>
                            <w:r w:rsidRPr="009237E8">
                              <w:rPr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Pr="009237E8">
                              <w:rPr>
                                <w:sz w:val="20"/>
                                <w:szCs w:val="20"/>
                              </w:rPr>
                              <w:t xml:space="preserve"> those services carried out the ‘Third-Party’ (i.e. the delivery of training and assessment services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9237E8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hyperlink r:id="rId8" w:anchor="binnacle-rto-files" w:history="1">
                              <w:r w:rsidRPr="009237E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Click here</w:t>
                              </w:r>
                            </w:hyperlink>
                            <w:r w:rsidRPr="009237E8">
                              <w:rPr>
                                <w:sz w:val="20"/>
                                <w:szCs w:val="20"/>
                              </w:rPr>
                              <w:t xml:space="preserve"> to access the PDS.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34364" id="Text Box 3" o:spid="_x0000_s1027" type="#_x0000_t202" style="position:absolute;margin-left:0;margin-top:22.45pt;width:522.8pt;height:68.8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" fillcolor="#e2efd9 [665]" strokeweight=".5pt">
                <v:textbox>
                  <w:txbxContent>
                    <w:p w:rsidR="00B0513A" w:rsidRPr="009237E8" w:rsidRDefault="00B0513A" w:rsidP="00B0513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237E8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IMPORTANT:</w:t>
                      </w:r>
                      <w:r w:rsidRPr="009237E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Program Disclosure Statement (PDS)</w:t>
                      </w:r>
                    </w:p>
                    <w:p w:rsidR="00B0513A" w:rsidRPr="009237E8" w:rsidRDefault="00B0513A" w:rsidP="00B0513A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237E8">
                        <w:rPr>
                          <w:sz w:val="20"/>
                          <w:szCs w:val="20"/>
                        </w:rPr>
                        <w:t xml:space="preserve">This information is to be read in conjunction with Binnacle Training’s </w:t>
                      </w:r>
                      <w:r w:rsidRPr="009237E8">
                        <w:rPr>
                          <w:sz w:val="20"/>
                          <w:szCs w:val="20"/>
                          <w:u w:val="single"/>
                        </w:rPr>
                        <w:t>Program Disclosure Statement</w:t>
                      </w:r>
                      <w:r w:rsidRPr="009237E8">
                        <w:rPr>
                          <w:sz w:val="20"/>
                          <w:szCs w:val="20"/>
                        </w:rPr>
                        <w:t xml:space="preserve"> (PDS). The PDS sets out the services and training products that Binnacle Training provides </w:t>
                      </w:r>
                      <w:r w:rsidRPr="009237E8">
                        <w:rPr>
                          <w:sz w:val="20"/>
                          <w:szCs w:val="20"/>
                          <w:u w:val="single"/>
                        </w:rPr>
                        <w:t>and</w:t>
                      </w:r>
                      <w:r w:rsidRPr="009237E8">
                        <w:rPr>
                          <w:sz w:val="20"/>
                          <w:szCs w:val="20"/>
                        </w:rPr>
                        <w:t xml:space="preserve"> those services carried out the ‘Third-Party’ (i.e. the delivery of training and assessment services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9237E8">
                        <w:rPr>
                          <w:sz w:val="20"/>
                          <w:szCs w:val="20"/>
                        </w:rPr>
                        <w:t xml:space="preserve">. </w:t>
                      </w:r>
                      <w:hyperlink r:id="rId9" w:anchor="binnacle-rto-files" w:history="1">
                        <w:r w:rsidRPr="009237E8">
                          <w:rPr>
                            <w:rStyle w:val="Hyperlink"/>
                            <w:sz w:val="20"/>
                            <w:szCs w:val="20"/>
                          </w:rPr>
                          <w:t>Click here</w:t>
                        </w:r>
                      </w:hyperlink>
                      <w:r w:rsidRPr="009237E8">
                        <w:rPr>
                          <w:sz w:val="20"/>
                          <w:szCs w:val="20"/>
                        </w:rPr>
                        <w:t xml:space="preserve"> to access the PDS.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6C97" w:rsidRPr="007A6FD7" w:rsidSect="00D11BEF">
      <w:headerReference w:type="default" r:id="rId10"/>
      <w:footerReference w:type="default" r:id="rId11"/>
      <w:type w:val="continuous"/>
      <w:pgSz w:w="11906" w:h="16838"/>
      <w:pgMar w:top="720" w:right="720" w:bottom="397" w:left="720" w:header="136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8E9" w:rsidRDefault="009F18E9" w:rsidP="006B17D6">
      <w:pPr>
        <w:spacing w:after="0" w:line="240" w:lineRule="auto"/>
      </w:pPr>
      <w:r>
        <w:separator/>
      </w:r>
    </w:p>
  </w:endnote>
  <w:endnote w:type="continuationSeparator" w:id="0">
    <w:p w:rsidR="009F18E9" w:rsidRDefault="009F18E9" w:rsidP="006B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AE4" w:rsidRDefault="00955712" w:rsidP="00837AE4">
    <w:pPr>
      <w:pStyle w:val="Footer"/>
      <w:jc w:val="right"/>
    </w:pPr>
    <w:r>
      <w:rPr>
        <w:caps/>
        <w:color w:val="5B9BD5"/>
        <w:sz w:val="20"/>
        <w:szCs w:val="20"/>
      </w:rPr>
      <w:t xml:space="preserve">PROVIDE </w:t>
    </w:r>
    <w:r w:rsidR="00AC2391">
      <w:rPr>
        <w:caps/>
        <w:color w:val="5B9BD5"/>
        <w:sz w:val="20"/>
        <w:szCs w:val="20"/>
      </w:rPr>
      <w:t>CPR</w:t>
    </w:r>
    <w:r>
      <w:rPr>
        <w:caps/>
        <w:color w:val="5B9BD5"/>
        <w:sz w:val="20"/>
        <w:szCs w:val="20"/>
      </w:rPr>
      <w:t xml:space="preserve"> (HLTAID00</w:t>
    </w:r>
    <w:r w:rsidR="00AC2391">
      <w:rPr>
        <w:caps/>
        <w:color w:val="5B9BD5"/>
        <w:sz w:val="20"/>
        <w:szCs w:val="20"/>
      </w:rPr>
      <w:t>1</w:t>
    </w:r>
    <w:r>
      <w:rPr>
        <w:caps/>
        <w:color w:val="5B9BD5"/>
        <w:sz w:val="20"/>
        <w:szCs w:val="20"/>
      </w:rPr>
      <w:t>)</w:t>
    </w:r>
    <w:r w:rsidR="00837AE4" w:rsidRPr="002A6BB6">
      <w:rPr>
        <w:caps/>
        <w:color w:val="808080"/>
        <w:sz w:val="20"/>
        <w:szCs w:val="20"/>
      </w:rPr>
      <w:t> |</w:t>
    </w:r>
    <w:r w:rsidR="00837AE4" w:rsidRPr="00134ECA">
      <w:rPr>
        <w:caps/>
        <w:color w:val="808080"/>
        <w:sz w:val="20"/>
        <w:szCs w:val="20"/>
      </w:rPr>
      <w:t> </w:t>
    </w:r>
    <w:r>
      <w:rPr>
        <w:color w:val="808080"/>
        <w:sz w:val="20"/>
        <w:szCs w:val="20"/>
      </w:rPr>
      <w:t>Course Outline</w:t>
    </w:r>
    <w:r w:rsidR="00837AE4" w:rsidRPr="00134ECA">
      <w:rPr>
        <w:color w:val="808080"/>
        <w:sz w:val="20"/>
        <w:szCs w:val="20"/>
      </w:rPr>
      <w:t>, 201</w:t>
    </w:r>
    <w:r w:rsidR="00B0513A">
      <w:rPr>
        <w:color w:val="808080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8E9" w:rsidRDefault="009F18E9" w:rsidP="006B17D6">
      <w:pPr>
        <w:spacing w:after="0" w:line="240" w:lineRule="auto"/>
      </w:pPr>
      <w:r>
        <w:separator/>
      </w:r>
    </w:p>
  </w:footnote>
  <w:footnote w:type="continuationSeparator" w:id="0">
    <w:p w:rsidR="009F18E9" w:rsidRDefault="009F18E9" w:rsidP="006B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7D6" w:rsidRDefault="0054306B">
    <w:pPr>
      <w:pStyle w:val="Header"/>
    </w:pPr>
    <w:r>
      <w:rPr>
        <w:noProof/>
        <w:sz w:val="3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C31BD" wp14:editId="39BCCDBE">
              <wp:simplePos x="0" y="0"/>
              <wp:positionH relativeFrom="margin">
                <wp:align>right</wp:align>
              </wp:positionH>
              <wp:positionV relativeFrom="paragraph">
                <wp:posOffset>-744523</wp:posOffset>
              </wp:positionV>
              <wp:extent cx="6925586" cy="914400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5586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17D6" w:rsidRPr="0054306B" w:rsidRDefault="00AC2391" w:rsidP="00C25A9E">
                          <w:pPr>
                            <w:spacing w:before="80" w:after="0" w:line="216" w:lineRule="auto"/>
                            <w:jc w:val="right"/>
                            <w:rPr>
                              <w:b/>
                              <w:noProof/>
                              <w:color w:val="2F5496" w:themeColor="accent5" w:themeShade="BF"/>
                              <w:sz w:val="44"/>
                              <w:lang w:eastAsia="en-AU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4306B">
                            <w:rPr>
                              <w:b/>
                              <w:noProof/>
                              <w:color w:val="2F5496" w:themeColor="accent5" w:themeShade="BF"/>
                              <w:sz w:val="44"/>
                              <w:lang w:eastAsia="en-AU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PROVIDE CPR (HLTAID001</w:t>
                          </w:r>
                          <w:r w:rsidR="00C25A9E" w:rsidRPr="0054306B">
                            <w:rPr>
                              <w:b/>
                              <w:noProof/>
                              <w:color w:val="2F5496" w:themeColor="accent5" w:themeShade="BF"/>
                              <w:sz w:val="44"/>
                              <w:lang w:eastAsia="en-AU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)</w:t>
                          </w:r>
                        </w:p>
                        <w:p w:rsidR="00C25A9E" w:rsidRPr="0054306B" w:rsidRDefault="00C25A9E" w:rsidP="00C25A9E">
                          <w:pPr>
                            <w:spacing w:before="20" w:after="0" w:line="216" w:lineRule="auto"/>
                            <w:jc w:val="right"/>
                            <w:rPr>
                              <w:b/>
                              <w:color w:val="2F5496" w:themeColor="accent5" w:themeShade="BF"/>
                              <w:sz w:val="52"/>
                              <w:szCs w:val="34"/>
                            </w:rPr>
                          </w:pPr>
                          <w:r w:rsidRPr="0054306B">
                            <w:rPr>
                              <w:b/>
                              <w:noProof/>
                              <w:color w:val="2F5496" w:themeColor="accent5" w:themeShade="BF"/>
                              <w:sz w:val="44"/>
                              <w:lang w:eastAsia="en-AU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Course Outline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6C31BD" id="Rectangle 20" o:spid="_x0000_s1028" style="position:absolute;margin-left:494.1pt;margin-top:-58.6pt;width:545.3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" filled="f" stroked="f">
              <v:textbox>
                <w:txbxContent>
                  <w:p w:rsidR="006B17D6" w:rsidRPr="0054306B" w:rsidRDefault="00AC2391" w:rsidP="00C25A9E">
                    <w:pPr>
                      <w:spacing w:before="80" w:after="0" w:line="216" w:lineRule="auto"/>
                      <w:jc w:val="right"/>
                      <w:rPr>
                        <w:b/>
                        <w:noProof/>
                        <w:color w:val="2F5496" w:themeColor="accent5" w:themeShade="BF"/>
                        <w:sz w:val="44"/>
                        <w:lang w:eastAsia="en-AU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4306B">
                      <w:rPr>
                        <w:b/>
                        <w:noProof/>
                        <w:color w:val="2F5496" w:themeColor="accent5" w:themeShade="BF"/>
                        <w:sz w:val="44"/>
                        <w:lang w:eastAsia="en-AU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PROVIDE CPR (HLTAID001</w:t>
                    </w:r>
                    <w:r w:rsidR="00C25A9E" w:rsidRPr="0054306B">
                      <w:rPr>
                        <w:b/>
                        <w:noProof/>
                        <w:color w:val="2F5496" w:themeColor="accent5" w:themeShade="BF"/>
                        <w:sz w:val="44"/>
                        <w:lang w:eastAsia="en-AU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)</w:t>
                    </w:r>
                  </w:p>
                  <w:p w:rsidR="00C25A9E" w:rsidRPr="0054306B" w:rsidRDefault="00C25A9E" w:rsidP="00C25A9E">
                    <w:pPr>
                      <w:spacing w:before="20" w:after="0" w:line="216" w:lineRule="auto"/>
                      <w:jc w:val="right"/>
                      <w:rPr>
                        <w:b/>
                        <w:color w:val="2F5496" w:themeColor="accent5" w:themeShade="BF"/>
                        <w:sz w:val="52"/>
                        <w:szCs w:val="34"/>
                      </w:rPr>
                    </w:pPr>
                    <w:r w:rsidRPr="0054306B">
                      <w:rPr>
                        <w:b/>
                        <w:noProof/>
                        <w:color w:val="2F5496" w:themeColor="accent5" w:themeShade="BF"/>
                        <w:sz w:val="44"/>
                        <w:lang w:eastAsia="en-AU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Course Outline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02C5766" wp14:editId="5021D725">
          <wp:simplePos x="0" y="0"/>
          <wp:positionH relativeFrom="margin">
            <wp:align>left</wp:align>
          </wp:positionH>
          <wp:positionV relativeFrom="paragraph">
            <wp:posOffset>-642151</wp:posOffset>
          </wp:positionV>
          <wp:extent cx="1572895" cy="626745"/>
          <wp:effectExtent l="0" t="0" r="8255" b="1905"/>
          <wp:wrapNone/>
          <wp:docPr id="1" name="Picture 1" descr="https://lh6.googleusercontent.com/xNj62QdjifLHWonK5FqknUfyaBgJP7zoy2Krm3ycX0HZrQ3uSpqnCJZmZ6biox7o5sCfasBieEbTGqWOferF8Zv2T6A__9HozHNKak4o9ot_zSoOXuFXsRg87AXo-DR_sSGLh8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ttps://lh6.googleusercontent.com/xNj62QdjifLHWonK5FqknUfyaBgJP7zoy2Krm3ycX0HZrQ3uSpqnCJZmZ6biox7o5sCfasBieEbTGqWOferF8Zv2T6A__9HozHNKak4o9ot_zSoOXuFXsRg87AXo-DR_sSGLh8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44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DC5F0D"/>
    <w:multiLevelType w:val="hybridMultilevel"/>
    <w:tmpl w:val="84705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653"/>
    <w:multiLevelType w:val="multilevel"/>
    <w:tmpl w:val="F6628E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6C18FF"/>
    <w:multiLevelType w:val="multilevel"/>
    <w:tmpl w:val="0BEA85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7F56D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F15AD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8D2DA7"/>
    <w:multiLevelType w:val="multilevel"/>
    <w:tmpl w:val="7F72D2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191FD5"/>
    <w:multiLevelType w:val="multilevel"/>
    <w:tmpl w:val="20A48F5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955DE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70109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D86573"/>
    <w:multiLevelType w:val="hybridMultilevel"/>
    <w:tmpl w:val="3B744FF2"/>
    <w:lvl w:ilvl="0" w:tplc="48AC67F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65BA8"/>
    <w:multiLevelType w:val="hybridMultilevel"/>
    <w:tmpl w:val="2D00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CC"/>
    <w:rsid w:val="00095A0A"/>
    <w:rsid w:val="000C578A"/>
    <w:rsid w:val="000D33FD"/>
    <w:rsid w:val="00124D8A"/>
    <w:rsid w:val="0013154B"/>
    <w:rsid w:val="001B0C20"/>
    <w:rsid w:val="00240C98"/>
    <w:rsid w:val="00251A97"/>
    <w:rsid w:val="00256401"/>
    <w:rsid w:val="00260341"/>
    <w:rsid w:val="0036343B"/>
    <w:rsid w:val="00442D1E"/>
    <w:rsid w:val="0044597C"/>
    <w:rsid w:val="004A6063"/>
    <w:rsid w:val="004B2F53"/>
    <w:rsid w:val="004B690B"/>
    <w:rsid w:val="004D0BE9"/>
    <w:rsid w:val="004E74EA"/>
    <w:rsid w:val="00512C15"/>
    <w:rsid w:val="005144C4"/>
    <w:rsid w:val="0054306B"/>
    <w:rsid w:val="005A0599"/>
    <w:rsid w:val="00611830"/>
    <w:rsid w:val="00655607"/>
    <w:rsid w:val="00667B18"/>
    <w:rsid w:val="006B17D6"/>
    <w:rsid w:val="006C064F"/>
    <w:rsid w:val="00716C97"/>
    <w:rsid w:val="007312F7"/>
    <w:rsid w:val="007569EE"/>
    <w:rsid w:val="00777495"/>
    <w:rsid w:val="00791077"/>
    <w:rsid w:val="007972B8"/>
    <w:rsid w:val="007A6FD7"/>
    <w:rsid w:val="00837AE4"/>
    <w:rsid w:val="008619A6"/>
    <w:rsid w:val="0086268B"/>
    <w:rsid w:val="00880E35"/>
    <w:rsid w:val="00890272"/>
    <w:rsid w:val="00931F90"/>
    <w:rsid w:val="00955712"/>
    <w:rsid w:val="00965CB2"/>
    <w:rsid w:val="009922CC"/>
    <w:rsid w:val="009C4317"/>
    <w:rsid w:val="009F18E9"/>
    <w:rsid w:val="00A327BE"/>
    <w:rsid w:val="00AC2391"/>
    <w:rsid w:val="00B0513A"/>
    <w:rsid w:val="00B51C0F"/>
    <w:rsid w:val="00C06284"/>
    <w:rsid w:val="00C25A9E"/>
    <w:rsid w:val="00C3433B"/>
    <w:rsid w:val="00C35881"/>
    <w:rsid w:val="00C365C9"/>
    <w:rsid w:val="00C37A76"/>
    <w:rsid w:val="00C63F58"/>
    <w:rsid w:val="00C8495A"/>
    <w:rsid w:val="00CB2B2B"/>
    <w:rsid w:val="00D11BEF"/>
    <w:rsid w:val="00D42F37"/>
    <w:rsid w:val="00D772D5"/>
    <w:rsid w:val="00DF44B1"/>
    <w:rsid w:val="00E35A48"/>
    <w:rsid w:val="00E52F75"/>
    <w:rsid w:val="00ED1EE8"/>
    <w:rsid w:val="00F7380A"/>
    <w:rsid w:val="00FA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7D6"/>
  </w:style>
  <w:style w:type="paragraph" w:styleId="Footer">
    <w:name w:val="footer"/>
    <w:basedOn w:val="Normal"/>
    <w:link w:val="FooterChar"/>
    <w:uiPriority w:val="99"/>
    <w:unhideWhenUsed/>
    <w:rsid w:val="006B1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7D6"/>
  </w:style>
  <w:style w:type="table" w:styleId="TableGrid">
    <w:name w:val="Table Grid"/>
    <w:basedOn w:val="TableNormal"/>
    <w:uiPriority w:val="39"/>
    <w:rsid w:val="0096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317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1A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1A97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1A9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1A97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D33FD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D772D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D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11B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nacletraining.com.au/rto.php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nnacletraining.com.au/rto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23785DABC5405D93F39802FB989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3FA7-509E-4E25-B3B9-C37B23A3D92E}"/>
      </w:docPartPr>
      <w:docPartBody>
        <w:p w:rsidR="008373C8" w:rsidRDefault="004E46B2" w:rsidP="004E46B2">
          <w:pPr>
            <w:pStyle w:val="D523785DABC5405D93F39802FB9896284"/>
          </w:pPr>
          <w:r w:rsidRPr="003B7EB6">
            <w:rPr>
              <w:rStyle w:val="PlaceholderText"/>
            </w:rPr>
            <w:t>i</w:t>
          </w:r>
          <w:r>
            <w:rPr>
              <w:rStyle w:val="PlaceholderText"/>
            </w:rPr>
            <w:t>nsert business name here</w:t>
          </w:r>
        </w:p>
      </w:docPartBody>
    </w:docPart>
    <w:docPart>
      <w:docPartPr>
        <w:name w:val="A9B6B9B8052942D2B9C122B937D8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FFE0D-B190-4C63-894F-A9707F37EE8E}"/>
      </w:docPartPr>
      <w:docPartBody>
        <w:p w:rsidR="008373C8" w:rsidRDefault="004E46B2" w:rsidP="004E46B2">
          <w:pPr>
            <w:pStyle w:val="A9B6B9B8052942D2B9C122B937D80B424"/>
          </w:pPr>
          <w:r>
            <w:rPr>
              <w:rStyle w:val="PlaceholderText"/>
              <w:sz w:val="20"/>
              <w:szCs w:val="20"/>
            </w:rPr>
            <w:t>I</w:t>
          </w:r>
          <w:r w:rsidRPr="001B0C20">
            <w:rPr>
              <w:rStyle w:val="PlaceholderText"/>
              <w:sz w:val="20"/>
              <w:szCs w:val="20"/>
            </w:rPr>
            <w:t>f applicable or N/A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28"/>
    <w:rsid w:val="004E46B2"/>
    <w:rsid w:val="004F44F0"/>
    <w:rsid w:val="00677BF4"/>
    <w:rsid w:val="008373C8"/>
    <w:rsid w:val="00B74085"/>
    <w:rsid w:val="00D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6B2"/>
    <w:rPr>
      <w:color w:val="808080"/>
    </w:rPr>
  </w:style>
  <w:style w:type="paragraph" w:customStyle="1" w:styleId="D523785DABC5405D93F39802FB989628">
    <w:name w:val="D523785DABC5405D93F39802FB989628"/>
    <w:rsid w:val="004E46B2"/>
    <w:rPr>
      <w:rFonts w:eastAsiaTheme="minorHAnsi"/>
      <w:lang w:eastAsia="en-US"/>
    </w:rPr>
  </w:style>
  <w:style w:type="paragraph" w:customStyle="1" w:styleId="A9B6B9B8052942D2B9C122B937D80B42">
    <w:name w:val="A9B6B9B8052942D2B9C122B937D80B42"/>
    <w:rsid w:val="004E46B2"/>
    <w:rPr>
      <w:rFonts w:eastAsiaTheme="minorHAnsi"/>
      <w:lang w:eastAsia="en-US"/>
    </w:rPr>
  </w:style>
  <w:style w:type="paragraph" w:customStyle="1" w:styleId="D523785DABC5405D93F39802FB9896281">
    <w:name w:val="D523785DABC5405D93F39802FB9896281"/>
    <w:rsid w:val="004E46B2"/>
    <w:rPr>
      <w:rFonts w:eastAsiaTheme="minorHAnsi"/>
      <w:lang w:eastAsia="en-US"/>
    </w:rPr>
  </w:style>
  <w:style w:type="paragraph" w:customStyle="1" w:styleId="A9B6B9B8052942D2B9C122B937D80B421">
    <w:name w:val="A9B6B9B8052942D2B9C122B937D80B421"/>
    <w:rsid w:val="004E46B2"/>
    <w:rPr>
      <w:rFonts w:eastAsiaTheme="minorHAnsi"/>
      <w:lang w:eastAsia="en-US"/>
    </w:rPr>
  </w:style>
  <w:style w:type="paragraph" w:customStyle="1" w:styleId="D523785DABC5405D93F39802FB9896282">
    <w:name w:val="D523785DABC5405D93F39802FB9896282"/>
    <w:rsid w:val="004E46B2"/>
    <w:rPr>
      <w:rFonts w:eastAsiaTheme="minorHAnsi"/>
      <w:lang w:eastAsia="en-US"/>
    </w:rPr>
  </w:style>
  <w:style w:type="paragraph" w:customStyle="1" w:styleId="A9B6B9B8052942D2B9C122B937D80B422">
    <w:name w:val="A9B6B9B8052942D2B9C122B937D80B422"/>
    <w:rsid w:val="004E46B2"/>
    <w:rPr>
      <w:rFonts w:eastAsiaTheme="minorHAnsi"/>
      <w:lang w:eastAsia="en-US"/>
    </w:rPr>
  </w:style>
  <w:style w:type="paragraph" w:customStyle="1" w:styleId="D523785DABC5405D93F39802FB9896283">
    <w:name w:val="D523785DABC5405D93F39802FB9896283"/>
    <w:rsid w:val="004E46B2"/>
    <w:rPr>
      <w:rFonts w:eastAsiaTheme="minorHAnsi"/>
      <w:lang w:eastAsia="en-US"/>
    </w:rPr>
  </w:style>
  <w:style w:type="paragraph" w:customStyle="1" w:styleId="A9B6B9B8052942D2B9C122B937D80B423">
    <w:name w:val="A9B6B9B8052942D2B9C122B937D80B423"/>
    <w:rsid w:val="004E46B2"/>
    <w:rPr>
      <w:rFonts w:eastAsiaTheme="minorHAnsi"/>
      <w:lang w:eastAsia="en-US"/>
    </w:rPr>
  </w:style>
  <w:style w:type="paragraph" w:customStyle="1" w:styleId="D523785DABC5405D93F39802FB9896284">
    <w:name w:val="D523785DABC5405D93F39802FB9896284"/>
    <w:rsid w:val="004E46B2"/>
    <w:rPr>
      <w:rFonts w:eastAsiaTheme="minorHAnsi"/>
      <w:lang w:eastAsia="en-US"/>
    </w:rPr>
  </w:style>
  <w:style w:type="paragraph" w:customStyle="1" w:styleId="A9B6B9B8052942D2B9C122B937D80B424">
    <w:name w:val="A9B6B9B8052942D2B9C122B937D80B424"/>
    <w:rsid w:val="004E46B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2019-02-28T01:53:00Z</dcterms:created>
  <dcterms:modified xsi:type="dcterms:W3CDTF">2019-02-28T01:53:00Z</dcterms:modified>
</cp:coreProperties>
</file>